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 Black" w:cs="Montserrat Black" w:eastAsia="Montserrat Black" w:hAnsi="Montserrat Black"/>
          <w:sz w:val="24"/>
          <w:szCs w:val="24"/>
        </w:rPr>
      </w:pPr>
      <w:r w:rsidDel="00000000" w:rsidR="00000000" w:rsidRPr="00000000">
        <w:rPr>
          <w:rFonts w:ascii="Montserrat Black" w:cs="Montserrat Black" w:eastAsia="Montserrat Black" w:hAnsi="Montserrat Black"/>
          <w:sz w:val="72"/>
          <w:szCs w:val="72"/>
        </w:rPr>
        <w:drawing>
          <wp:inline distB="0" distT="0" distL="0" distR="0">
            <wp:extent cx="4663980" cy="1861234"/>
            <wp:effectExtent b="0" l="0" r="0" t="0"/>
            <wp:docPr descr="Graphical user interface&#10;&#10;Description automatically generated with low confidence" id="10" name="image1.jpg"/>
            <a:graphic>
              <a:graphicData uri="http://schemas.openxmlformats.org/drawingml/2006/picture">
                <pic:pic>
                  <pic:nvPicPr>
                    <pic:cNvPr descr="Graphical user interface&#10;&#10;Description automatically generated with low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3980" cy="1861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 Black" w:cs="Montserrat Black" w:eastAsia="Montserrat Black" w:hAnsi="Montserrat Black"/>
          <w:sz w:val="56"/>
          <w:szCs w:val="56"/>
          <w:u w:val="single"/>
        </w:rPr>
      </w:pPr>
      <w:r w:rsidDel="00000000" w:rsidR="00000000" w:rsidRPr="00000000">
        <w:rPr>
          <w:rFonts w:ascii="Montserrat Black" w:cs="Montserrat Black" w:eastAsia="Montserrat Black" w:hAnsi="Montserrat Black"/>
          <w:sz w:val="56"/>
          <w:szCs w:val="56"/>
          <w:u w:val="single"/>
          <w:rtl w:val="0"/>
        </w:rPr>
        <w:t xml:space="preserve">PUBLIC MEETING NOTICE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Regulatory &amp; Legislative Affairs Committee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10:00 A.M. - June 16, 2023 </w:t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0"/>
        </w:rPr>
        <w:t xml:space="preserve"> 14 DIXON AVE, SUITE 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0"/>
        </w:rPr>
        <w:t xml:space="preserve">Concord, NH 03301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This meeting is open to the public pursuant to RSA 91-A.</w:t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The Community Power Coalition of New Hampshire is a non-profit corporation operating as a governmental instrumentality pursuant to a Joint Powers Agreement among a number of municipalities and counties, in accordance with NH RSA 53-A and RSA 53-E.  </w:t>
      </w:r>
    </w:p>
    <w:p w:rsidR="00000000" w:rsidDel="00000000" w:rsidP="00000000" w:rsidRDefault="00000000" w:rsidRPr="00000000" w14:paraId="0000000C">
      <w:pPr>
        <w:jc w:val="center"/>
        <w:rPr>
          <w:rFonts w:ascii="Montserrat" w:cs="Montserrat" w:eastAsia="Montserrat" w:hAnsi="Montserrat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Additional information: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0563c1"/>
            <w:sz w:val="28"/>
            <w:szCs w:val="28"/>
            <w:u w:val="single"/>
            <w:rtl w:val="0"/>
          </w:rPr>
          <w:t xml:space="preserve">https://www.cpcnh.org</w:t>
        </w:r>
      </w:hyperlink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rFonts w:ascii="Montserrat" w:cs="Montserrat" w:eastAsia="Montserrat" w:hAnsi="Montserrat"/>
          <w:color w:val="0563c1"/>
          <w:sz w:val="28"/>
          <w:szCs w:val="28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Notice &amp; virtual access: 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0563c1"/>
            <w:sz w:val="28"/>
            <w:szCs w:val="28"/>
            <w:u w:val="single"/>
            <w:rtl w:val="0"/>
          </w:rPr>
          <w:t xml:space="preserve">https://www.cpcnh.org/calendar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40" w:line="240" w:lineRule="auto"/>
        <w:jc w:val="center"/>
        <w:rPr>
          <w:rFonts w:ascii="Metropolis" w:cs="Metropolis" w:eastAsia="Metropolis" w:hAnsi="Metropolis"/>
          <w:b w:val="1"/>
          <w:color w:val="21a5bc"/>
          <w:sz w:val="40"/>
          <w:szCs w:val="40"/>
        </w:rPr>
      </w:pPr>
      <w:r w:rsidDel="00000000" w:rsidR="00000000" w:rsidRPr="00000000">
        <w:rPr>
          <w:rFonts w:ascii="Metropolis" w:cs="Metropolis" w:eastAsia="Metropolis" w:hAnsi="Metropolis"/>
          <w:b w:val="1"/>
          <w:color w:val="21a5bc"/>
          <w:sz w:val="40"/>
          <w:szCs w:val="40"/>
          <w:rtl w:val="0"/>
        </w:rPr>
        <w:t xml:space="preserve">CPCNH Regulatory &amp; Legislative Affairs Committee Meeting, 6/16/2023</w:t>
      </w:r>
    </w:p>
    <w:p w:rsidR="00000000" w:rsidDel="00000000" w:rsidP="00000000" w:rsidRDefault="00000000" w:rsidRPr="00000000" w14:paraId="00000010">
      <w:pPr>
        <w:pBdr>
          <w:bottom w:color="2c74a7" w:space="1" w:sz="18" w:val="single"/>
        </w:pBdr>
        <w:spacing w:after="200" w:before="160" w:line="240" w:lineRule="auto"/>
        <w:jc w:val="center"/>
        <w:rPr>
          <w:rFonts w:ascii="Metropolis" w:cs="Metropolis" w:eastAsia="Metropolis" w:hAnsi="Metropolis"/>
          <w:b w:val="1"/>
          <w:color w:val="2773a9"/>
          <w:sz w:val="39"/>
          <w:szCs w:val="39"/>
        </w:rPr>
      </w:pPr>
      <w:r w:rsidDel="00000000" w:rsidR="00000000" w:rsidRPr="00000000">
        <w:rPr>
          <w:rFonts w:ascii="Metropolis" w:cs="Metropolis" w:eastAsia="Metropolis" w:hAnsi="Metropolis"/>
          <w:b w:val="1"/>
          <w:color w:val="2773a9"/>
          <w:sz w:val="39"/>
          <w:szCs w:val="39"/>
          <w:rtl w:val="0"/>
        </w:rPr>
        <w:t xml:space="preserve">AGENDA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20" w:lineRule="auto"/>
        <w:ind w:left="432" w:hanging="432"/>
        <w:jc w:val="both"/>
        <w:rPr>
          <w:rFonts w:ascii="Montserrat" w:cs="Montserrat" w:eastAsia="Montserrat" w:hAnsi="Montserrat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Welcome, Roll Call, Approve Minutes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60" w:lineRule="auto"/>
        <w:ind w:left="432" w:hanging="432"/>
        <w:jc w:val="both"/>
        <w:rPr>
          <w:rFonts w:ascii="Montserrat" w:cs="Montserrat" w:eastAsia="Montserrat" w:hAnsi="Montserrat"/>
          <w:color w:val="000000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Review and discussion of relevant PUC dockets and DOE investigative proceedings.  See the attached spreadsheet created by Clifton Below, “2023-06-12 NH PUC Proceedings and Companies Tracker.”  Note that this document contains links to the dockets and proceedings.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lineRule="auto"/>
        <w:ind w:left="432" w:hanging="432"/>
        <w:jc w:val="both"/>
        <w:rPr>
          <w:rFonts w:ascii="Montserrat" w:cs="Montserrat" w:eastAsia="Montserrat" w:hAnsi="Montserrat"/>
          <w:color w:val="000000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Discussion on how to move forward with the creation of a charter for the RLAC.  Here are some sample policy documents collected by Henry Herndon that may be useful background: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selection of California CPA JPA policy platforms: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240" w:line="276" w:lineRule="auto"/>
        <w:ind w:left="9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Clean Power Alliance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Legislative and Regulatory Policy Platform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76" w:lineRule="auto"/>
        <w:ind w:left="9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East Bay Community Energy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Legislative Program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(and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online bill tracker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line="276" w:lineRule="auto"/>
        <w:ind w:left="9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California CPA trade association ("CalCCA")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policy webpage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after="0"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 MA, the Cape Light Compact CPA JPA 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public advocacy webpage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CPCNH's </w:t>
      </w: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public advocacy webpage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0"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left="720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Also see attachment “CPCNH JPA as of 4-21-23 excerpted for RLAC” for charter context in the CPCNH JPA and by-laws.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20" w:lineRule="auto"/>
        <w:ind w:left="432" w:hanging="432"/>
        <w:jc w:val="both"/>
        <w:rPr>
          <w:rFonts w:ascii="Montserrat" w:cs="Montserrat" w:eastAsia="Montserrat" w:hAnsi="Montserrat"/>
          <w:color w:val="000000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lineRule="auto"/>
        <w:ind w:left="432" w:hanging="432"/>
        <w:jc w:val="both"/>
        <w:rPr>
          <w:rFonts w:ascii="Montserrat" w:cs="Montserrat" w:eastAsia="Montserrat" w:hAnsi="Montserrat"/>
          <w:color w:val="000000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8"/>
          <w:szCs w:val="28"/>
          <w:rtl w:val="0"/>
        </w:rPr>
        <w:t xml:space="preserve">Adjournment </w:t>
      </w:r>
    </w:p>
    <w:sectPr>
      <w:footerReference r:id="rId16" w:type="default"/>
      <w:pgSz w:h="15840" w:w="12240" w:orient="portrait"/>
      <w:pgMar w:bottom="117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etropolis"/>
  <w:font w:name="Montserrat Black">
    <w:embedBold w:fontKey="{00000000-0000-0000-0000-000000000000}" r:id="rId1" w:subsetted="0"/>
    <w:embedBoldItalic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-904871</wp:posOffset>
          </wp:positionH>
          <wp:positionV relativeFrom="paragraph">
            <wp:posOffset>474312</wp:posOffset>
          </wp:positionV>
          <wp:extent cx="7763256" cy="146304"/>
          <wp:effectExtent b="0" l="0" r="0" t="0"/>
          <wp:wrapSquare wrapText="bothSides" distB="0" distT="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256" cy="14630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."/>
      <w:lvlJc w:val="left"/>
      <w:pPr>
        <w:ind w:left="1008" w:hanging="64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96" w:hanging="576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00B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25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25FF2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6F13F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13F2"/>
  </w:style>
  <w:style w:type="paragraph" w:styleId="Footer">
    <w:name w:val="footer"/>
    <w:basedOn w:val="Normal"/>
    <w:link w:val="FooterChar"/>
    <w:uiPriority w:val="99"/>
    <w:unhideWhenUsed w:val="1"/>
    <w:rsid w:val="006F13F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13F2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F34AB8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147FBB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60588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l-cca.org/regulatorylegislative/" TargetMode="External"/><Relationship Id="rId8" Type="http://schemas.openxmlformats.org/officeDocument/2006/relationships/hyperlink" Target="https://www.cpcnh.org" TargetMode="External"/><Relationship Id="rId18" Type="http://schemas.openxmlformats.org/officeDocument/2006/relationships/customXml" Target="../customXML/item3.xml"/><Relationship Id="rId3" Type="http://schemas.openxmlformats.org/officeDocument/2006/relationships/fontTable" Target="fontTable.xml"/><Relationship Id="rId12" Type="http://schemas.openxmlformats.org/officeDocument/2006/relationships/hyperlink" Target="https://ebce.org/legislative-priorities/" TargetMode="External"/><Relationship Id="rId7" Type="http://schemas.openxmlformats.org/officeDocument/2006/relationships/image" Target="media/image1.jp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1" Type="http://schemas.openxmlformats.org/officeDocument/2006/relationships/hyperlink" Target="https://res.cloudinary.com/diactiwk7/image/upload/v1623174572/EBCE_Leg_Program_updated_3-17-2021_ut2xch.pdf" TargetMode="Externa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5" Type="http://schemas.openxmlformats.org/officeDocument/2006/relationships/hyperlink" Target="https://www.cpcnh.org/legislative-regulatory-advocacy" TargetMode="External"/><Relationship Id="rId5" Type="http://schemas.openxmlformats.org/officeDocument/2006/relationships/styles" Target="styles.xml"/><Relationship Id="rId10" Type="http://schemas.openxmlformats.org/officeDocument/2006/relationships/hyperlink" Target="https://cleanpoweralliance.org/wp-content/uploads/2020/12/2021-Legislative-and-Regulatory-Policy-Platform.pdf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hyperlink" Target="https://www.cpcnh.org/calendar" TargetMode="External"/><Relationship Id="rId14" Type="http://schemas.openxmlformats.org/officeDocument/2006/relationships/hyperlink" Target="https://www.capelightcompact.org/advocac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Black-bold.ttf"/><Relationship Id="rId2" Type="http://schemas.openxmlformats.org/officeDocument/2006/relationships/font" Target="fonts/MontserratBlack-boldItalic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4z3WX6HGGsLP2Ip+5EwyIqfMoQ==">CgMxLjAyCGguZ2pkZ3hzMgloLjMwajB6bGwyCWguMWZvYjl0ZTgAciExQjNQUFB2bDRLOFNjcDgwZGd6a1FUbWZaa1BPdmduWUI=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1148689F161408D7F242A8B48B892" ma:contentTypeVersion="0" ma:contentTypeDescription="Create a new document." ma:contentTypeScope="" ma:versionID="1acde72397a2fbf84dc4c83ffb136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1565AC2-0D4D-40D1-8927-367A709EA01B}"/>
</file>

<file path=customXML/itemProps3.xml><?xml version="1.0" encoding="utf-8"?>
<ds:datastoreItem xmlns:ds="http://schemas.openxmlformats.org/officeDocument/2006/customXml" ds:itemID="{8CF52924-936C-4D05-B91B-91F3EC05368C}"/>
</file>

<file path=customXML/itemProps4.xml><?xml version="1.0" encoding="utf-8"?>
<ds:datastoreItem xmlns:ds="http://schemas.openxmlformats.org/officeDocument/2006/customXml" ds:itemID="{0C0CDA67-B502-49AF-9552-49C07A935EA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 Below</dc:creator>
  <dcterms:created xsi:type="dcterms:W3CDTF">2023-05-01T18:11:00Z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0x0101000141148689F161408D7F242A8B48B892</vt:lpwstr>
  </property>
  <property fmtid="{D5CDD505-2E9C-101B-9397-08002B2CF9AE}" pid="3" name="Order">
    <vt:r8>20400</vt:r8>
  </property>
  <property fmtid="{D5CDD505-2E9C-101B-9397-08002B2CF9AE}" pid="4" name="_ExtendedDescription">
    <vt:lpwstr/>
  </property>
  <property fmtid="{D5CDD505-2E9C-101B-9397-08002B2CF9AE}" pid="5" name="MigrationWizId">
    <vt:lpwstr>1B3PPPvl4K8Scp80dgzkQTmfZkPOvgnYB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